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FDA9E"/>
    <w:p w14:paraId="24186612">
      <w:pPr>
        <w:pStyle w:val="2"/>
        <w:keepNext w:val="0"/>
        <w:keepLines w:val="0"/>
        <w:widowControl/>
        <w:suppressLineNumbers w:val="0"/>
        <w:jc w:val="center"/>
        <w:rPr>
          <w:rFonts w:hint="default" w:ascii="Arial" w:hAnsi="Arial" w:cs="Arial"/>
          <w:sz w:val="30"/>
          <w:szCs w:val="30"/>
        </w:rPr>
      </w:pPr>
      <w:r>
        <w:rPr>
          <w:rStyle w:val="10"/>
          <w:rFonts w:hint="default" w:ascii="Arial" w:hAnsi="Arial" w:cs="Arial"/>
          <w:b/>
          <w:sz w:val="30"/>
          <w:szCs w:val="30"/>
        </w:rPr>
        <w:t>CERTIFICATE OF ANALYSIS (COA)</w:t>
      </w:r>
    </w:p>
    <w:p w14:paraId="483ED3CF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Product Name</w:t>
      </w:r>
      <w:r>
        <w:rPr>
          <w:rFonts w:hint="default" w:ascii="Arial" w:hAnsi="Arial" w:cs="Arial"/>
          <w:sz w:val="24"/>
          <w:szCs w:val="24"/>
        </w:rPr>
        <w:t>: Calcium Butyrate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Style w:val="10"/>
          <w:rFonts w:hint="default" w:ascii="Arial" w:hAnsi="Arial" w:cs="Arial"/>
          <w:sz w:val="24"/>
          <w:szCs w:val="24"/>
        </w:rPr>
        <w:t>Chemical Formula</w:t>
      </w:r>
      <w:r>
        <w:rPr>
          <w:rFonts w:hint="default" w:ascii="Arial" w:hAnsi="Arial" w:cs="Arial"/>
          <w:sz w:val="24"/>
          <w:szCs w:val="24"/>
        </w:rPr>
        <w:t xml:space="preserve">: 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t>C₈H₁₄CaO₄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Style w:val="10"/>
          <w:rFonts w:hint="default" w:ascii="Arial" w:hAnsi="Arial" w:cs="Arial"/>
          <w:sz w:val="24"/>
          <w:szCs w:val="24"/>
        </w:rPr>
        <w:t>Grade</w:t>
      </w:r>
      <w:r>
        <w:rPr>
          <w:rFonts w:hint="default" w:ascii="Arial" w:hAnsi="Arial" w:cs="Arial"/>
          <w:sz w:val="24"/>
          <w:szCs w:val="24"/>
        </w:rPr>
        <w:t>: Feed Grade</w:t>
      </w:r>
    </w:p>
    <w:p w14:paraId="74E3D2E1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Batch No.</w:t>
      </w:r>
      <w:r>
        <w:rPr>
          <w:rFonts w:hint="default" w:ascii="Arial" w:hAnsi="Arial" w:cs="Arial"/>
          <w:sz w:val="24"/>
          <w:szCs w:val="24"/>
        </w:rPr>
        <w:t>: HR2025070401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Style w:val="10"/>
          <w:rFonts w:hint="default" w:ascii="Arial" w:hAnsi="Arial" w:cs="Arial"/>
          <w:sz w:val="24"/>
          <w:szCs w:val="24"/>
        </w:rPr>
        <w:t>Manufacture Date</w:t>
      </w:r>
      <w:r>
        <w:rPr>
          <w:rFonts w:hint="default" w:ascii="Arial" w:hAnsi="Arial" w:cs="Arial"/>
          <w:sz w:val="24"/>
          <w:szCs w:val="24"/>
        </w:rPr>
        <w:t>: July 4, 2025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Style w:val="10"/>
          <w:rFonts w:hint="default" w:ascii="Arial" w:hAnsi="Arial" w:cs="Arial"/>
          <w:sz w:val="24"/>
          <w:szCs w:val="24"/>
        </w:rPr>
        <w:t>Expiry Date</w:t>
      </w:r>
      <w:r>
        <w:rPr>
          <w:rFonts w:hint="default" w:ascii="Arial" w:hAnsi="Arial" w:cs="Arial"/>
          <w:sz w:val="24"/>
          <w:szCs w:val="24"/>
        </w:rPr>
        <w:t>: July 3, 2027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Style w:val="10"/>
          <w:rFonts w:hint="default" w:ascii="Arial" w:hAnsi="Arial" w:cs="Arial"/>
          <w:sz w:val="24"/>
          <w:szCs w:val="24"/>
        </w:rPr>
        <w:t>Report Date</w:t>
      </w:r>
      <w:r>
        <w:rPr>
          <w:rFonts w:hint="default" w:ascii="Arial" w:hAnsi="Arial" w:cs="Arial"/>
          <w:sz w:val="24"/>
          <w:szCs w:val="24"/>
        </w:rPr>
        <w:t>: July 10, 2025</w:t>
      </w:r>
    </w:p>
    <w:p w14:paraId="557C1DD9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Quantity</w:t>
      </w:r>
      <w:r>
        <w:rPr>
          <w:rFonts w:hint="default" w:ascii="Arial" w:hAnsi="Arial" w:cs="Arial"/>
          <w:sz w:val="24"/>
          <w:szCs w:val="24"/>
        </w:rPr>
        <w:t>: 28 Metric Tons</w:t>
      </w:r>
      <w:bookmarkStart w:id="0" w:name="_GoBack"/>
      <w:bookmarkEnd w:id="0"/>
    </w:p>
    <w:p w14:paraId="5B90D37A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Analysis Method</w:t>
      </w:r>
      <w:r>
        <w:rPr>
          <w:rFonts w:hint="default" w:ascii="Arial" w:hAnsi="Arial" w:cs="Arial"/>
          <w:sz w:val="24"/>
          <w:szCs w:val="24"/>
        </w:rPr>
        <w:t>: Titrimetric Method on the Anhydrous Basis</w:t>
      </w:r>
    </w:p>
    <w:p w14:paraId="4D733D65">
      <w:pPr>
        <w:keepNext w:val="0"/>
        <w:keepLines w:val="0"/>
        <w:widowControl/>
        <w:suppressLineNumbers w:val="0"/>
      </w:pPr>
    </w:p>
    <w:tbl>
      <w:tblPr>
        <w:tblStyle w:val="13"/>
        <w:tblW w:w="901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96"/>
        <w:gridCol w:w="2961"/>
        <w:gridCol w:w="2962"/>
      </w:tblGrid>
      <w:tr w14:paraId="7E7BA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Header/>
          <w:jc w:val="center"/>
        </w:trPr>
        <w:tc>
          <w:tcPr>
            <w:tcW w:w="3096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3D3D3"/>
            <w:vAlign w:val="center"/>
          </w:tcPr>
          <w:p w14:paraId="5A6F440E">
            <w:pPr>
              <w:pStyle w:val="12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pacing w:val="-3"/>
                <w:sz w:val="24"/>
                <w:szCs w:val="24"/>
              </w:rPr>
              <w:t>Item</w:t>
            </w:r>
          </w:p>
        </w:tc>
        <w:tc>
          <w:tcPr>
            <w:tcW w:w="2961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3D3D3"/>
            <w:vAlign w:val="center"/>
          </w:tcPr>
          <w:p w14:paraId="4F808245">
            <w:pPr>
              <w:pStyle w:val="12"/>
              <w:snapToGrid w:val="0"/>
              <w:spacing w:before="103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pacing w:val="-1"/>
                <w:sz w:val="24"/>
                <w:szCs w:val="24"/>
              </w:rPr>
              <w:t>Specification</w:t>
            </w:r>
          </w:p>
        </w:tc>
        <w:tc>
          <w:tcPr>
            <w:tcW w:w="2962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D3D3D3"/>
            <w:vAlign w:val="center"/>
          </w:tcPr>
          <w:p w14:paraId="0493DC66">
            <w:pPr>
              <w:pStyle w:val="12"/>
              <w:snapToGrid w:val="0"/>
              <w:spacing w:before="105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pacing w:val="-3"/>
                <w:sz w:val="24"/>
                <w:szCs w:val="24"/>
              </w:rPr>
              <w:t>Result</w:t>
            </w:r>
          </w:p>
        </w:tc>
      </w:tr>
      <w:tr w14:paraId="2A612E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09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099A9C0">
            <w:pPr>
              <w:pStyle w:val="12"/>
              <w:snapToGrid w:val="0"/>
              <w:spacing w:before="99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1"/>
                <w:sz w:val="24"/>
                <w:szCs w:val="24"/>
              </w:rPr>
              <w:t>Appearance</w:t>
            </w:r>
          </w:p>
        </w:tc>
        <w:tc>
          <w:tcPr>
            <w:tcW w:w="29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801D0FC">
            <w:pPr>
              <w:pStyle w:val="12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2"/>
                <w:sz w:val="24"/>
                <w:szCs w:val="24"/>
              </w:rPr>
              <w:t>White</w:t>
            </w:r>
            <w:r>
              <w:rPr>
                <w:rFonts w:hint="default" w:ascii="Arial" w:hAnsi="Arial" w:eastAsia="Arial" w:cs="Arial"/>
                <w:spacing w:val="26"/>
                <w:w w:val="10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2"/>
                <w:sz w:val="24"/>
                <w:szCs w:val="24"/>
              </w:rPr>
              <w:t>powder,</w:t>
            </w:r>
            <w:r>
              <w:rPr>
                <w:rFonts w:hint="default" w:ascii="Arial" w:hAnsi="Arial" w:eastAsia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2"/>
                <w:sz w:val="24"/>
                <w:szCs w:val="24"/>
              </w:rPr>
              <w:t>no caking</w:t>
            </w:r>
          </w:p>
        </w:tc>
        <w:tc>
          <w:tcPr>
            <w:tcW w:w="296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50E2D9B">
            <w:pPr>
              <w:pStyle w:val="12"/>
              <w:snapToGrid w:val="0"/>
              <w:spacing w:before="98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2"/>
                <w:sz w:val="24"/>
                <w:szCs w:val="24"/>
              </w:rPr>
              <w:t>White</w:t>
            </w:r>
            <w:r>
              <w:rPr>
                <w:rFonts w:hint="default" w:ascii="Arial" w:hAnsi="Arial" w:eastAsia="Arial" w:cs="Arial"/>
                <w:spacing w:val="26"/>
                <w:w w:val="10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2"/>
                <w:sz w:val="24"/>
                <w:szCs w:val="24"/>
              </w:rPr>
              <w:t>powder,</w:t>
            </w:r>
            <w:r>
              <w:rPr>
                <w:rFonts w:hint="default" w:ascii="Arial" w:hAnsi="Arial" w:eastAsia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2"/>
                <w:sz w:val="24"/>
                <w:szCs w:val="24"/>
              </w:rPr>
              <w:t>no caking</w:t>
            </w:r>
          </w:p>
        </w:tc>
      </w:tr>
      <w:tr w14:paraId="1E0FEF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309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3F48EE4">
            <w:pPr>
              <w:pStyle w:val="12"/>
              <w:snapToGrid w:val="0"/>
              <w:spacing w:before="99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1"/>
                <w:sz w:val="24"/>
                <w:szCs w:val="24"/>
              </w:rPr>
              <w:t>Assay (Calcium</w:t>
            </w:r>
            <w:r>
              <w:rPr>
                <w:rFonts w:hint="default" w:ascii="Arial" w:hAnsi="Arial" w:eastAsia="Arial" w:cs="Arial"/>
                <w:spacing w:val="21"/>
                <w:w w:val="10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1"/>
                <w:sz w:val="24"/>
                <w:szCs w:val="24"/>
              </w:rPr>
              <w:t>Butyrate)</w:t>
            </w:r>
          </w:p>
        </w:tc>
        <w:tc>
          <w:tcPr>
            <w:tcW w:w="29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5406804">
            <w:pPr>
              <w:pStyle w:val="12"/>
              <w:snapToGrid w:val="0"/>
              <w:spacing w:before="37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9"/>
                <w:sz w:val="24"/>
                <w:szCs w:val="24"/>
              </w:rPr>
              <w:t>≥</w:t>
            </w:r>
            <w:r>
              <w:rPr>
                <w:rFonts w:hint="default" w:ascii="Arial" w:hAnsi="Arial" w:eastAsia="Arial" w:cs="Arial"/>
                <w:spacing w:val="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9"/>
                <w:sz w:val="24"/>
                <w:szCs w:val="24"/>
              </w:rPr>
              <w:t>98.0</w:t>
            </w:r>
            <w:r>
              <w:rPr>
                <w:rFonts w:hint="default" w:ascii="Arial" w:hAnsi="Arial" w:eastAsia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9"/>
                <w:sz w:val="24"/>
                <w:szCs w:val="24"/>
              </w:rPr>
              <w:t>%</w:t>
            </w:r>
          </w:p>
        </w:tc>
        <w:tc>
          <w:tcPr>
            <w:tcW w:w="296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9F182E3">
            <w:pPr>
              <w:pStyle w:val="12"/>
              <w:snapToGrid w:val="0"/>
              <w:spacing w:before="37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2"/>
                <w:position w:val="1"/>
                <w:sz w:val="24"/>
                <w:szCs w:val="24"/>
              </w:rPr>
              <w:t>98.4</w:t>
            </w:r>
            <w:r>
              <w:rPr>
                <w:rFonts w:hint="default" w:ascii="Arial" w:hAnsi="Arial" w:eastAsia="Arial" w:cs="Arial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2"/>
                <w:position w:val="1"/>
                <w:sz w:val="24"/>
                <w:szCs w:val="24"/>
              </w:rPr>
              <w:t>%</w:t>
            </w:r>
          </w:p>
        </w:tc>
      </w:tr>
      <w:tr w14:paraId="169D66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309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934F19B">
            <w:pPr>
              <w:pStyle w:val="12"/>
              <w:snapToGrid w:val="0"/>
              <w:spacing w:before="4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2"/>
                <w:position w:val="3"/>
                <w:sz w:val="24"/>
                <w:szCs w:val="24"/>
              </w:rPr>
              <w:t>pH (1.0</w:t>
            </w:r>
            <w:r>
              <w:rPr>
                <w:rFonts w:hint="default" w:ascii="Arial" w:hAnsi="Arial" w:eastAsia="Arial" w:cs="Arial"/>
                <w:spacing w:val="7"/>
                <w:position w:val="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2"/>
                <w:position w:val="3"/>
                <w:sz w:val="24"/>
                <w:szCs w:val="24"/>
              </w:rPr>
              <w:t>g /</w:t>
            </w:r>
            <w:r>
              <w:rPr>
                <w:rFonts w:hint="default" w:ascii="Arial" w:hAnsi="Arial" w:eastAsia="Arial" w:cs="Arial"/>
                <w:spacing w:val="8"/>
                <w:position w:val="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2"/>
                <w:position w:val="3"/>
                <w:sz w:val="24"/>
                <w:szCs w:val="24"/>
              </w:rPr>
              <w:t>50</w:t>
            </w:r>
            <w:r>
              <w:rPr>
                <w:rFonts w:hint="default" w:ascii="Arial" w:hAnsi="Arial" w:eastAsia="Arial" w:cs="Arial"/>
                <w:spacing w:val="13"/>
                <w:w w:val="101"/>
                <w:position w:val="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2"/>
                <w:position w:val="3"/>
                <w:sz w:val="24"/>
                <w:szCs w:val="24"/>
              </w:rPr>
              <w:t>ml</w:t>
            </w:r>
            <w:r>
              <w:rPr>
                <w:rFonts w:hint="default" w:ascii="Arial" w:hAnsi="Arial" w:eastAsia="Arial" w:cs="Arial"/>
                <w:spacing w:val="6"/>
                <w:position w:val="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2"/>
                <w:position w:val="3"/>
                <w:sz w:val="24"/>
                <w:szCs w:val="24"/>
              </w:rPr>
              <w:t>soluti</w:t>
            </w:r>
            <w:r>
              <w:rPr>
                <w:rFonts w:hint="default" w:ascii="Arial" w:hAnsi="Arial" w:eastAsia="Arial" w:cs="Arial"/>
                <w:spacing w:val="-3"/>
                <w:position w:val="3"/>
                <w:sz w:val="24"/>
                <w:szCs w:val="24"/>
              </w:rPr>
              <w:t>on)</w:t>
            </w:r>
          </w:p>
        </w:tc>
        <w:tc>
          <w:tcPr>
            <w:tcW w:w="29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8C41D17">
            <w:pPr>
              <w:pStyle w:val="12"/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3"/>
                <w:position w:val="1"/>
                <w:sz w:val="24"/>
                <w:szCs w:val="24"/>
              </w:rPr>
              <w:t>7.0 –</w:t>
            </w:r>
            <w:r>
              <w:rPr>
                <w:rFonts w:hint="default" w:ascii="Arial" w:hAnsi="Arial" w:eastAsia="Arial" w:cs="Arial"/>
                <w:spacing w:val="22"/>
                <w:w w:val="101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3"/>
                <w:position w:val="1"/>
                <w:sz w:val="24"/>
                <w:szCs w:val="24"/>
              </w:rPr>
              <w:t>10.0</w:t>
            </w:r>
          </w:p>
        </w:tc>
        <w:tc>
          <w:tcPr>
            <w:tcW w:w="296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EB29432">
            <w:pPr>
              <w:pStyle w:val="12"/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2"/>
                <w:position w:val="1"/>
                <w:sz w:val="24"/>
                <w:szCs w:val="24"/>
              </w:rPr>
              <w:t>8.5</w:t>
            </w:r>
          </w:p>
        </w:tc>
      </w:tr>
      <w:tr w14:paraId="1F54E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309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A1CACCD">
            <w:pPr>
              <w:pStyle w:val="12"/>
              <w:snapToGrid w:val="0"/>
              <w:spacing w:before="107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3"/>
                <w:sz w:val="24"/>
                <w:szCs w:val="24"/>
              </w:rPr>
              <w:t>Loss on</w:t>
            </w:r>
            <w:r>
              <w:rPr>
                <w:rFonts w:hint="default" w:ascii="Arial" w:hAnsi="Arial" w:eastAsia="Arial" w:cs="Arial"/>
                <w:spacing w:val="2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3"/>
                <w:sz w:val="24"/>
                <w:szCs w:val="24"/>
              </w:rPr>
              <w:t>Drying</w:t>
            </w:r>
            <w:r>
              <w:rPr>
                <w:rFonts w:hint="default" w:ascii="Arial" w:hAnsi="Arial" w:eastAsia="Arial" w:cs="Arial"/>
                <w:spacing w:val="-11"/>
                <w:sz w:val="24"/>
                <w:szCs w:val="24"/>
              </w:rPr>
              <w:t>%</w:t>
            </w:r>
          </w:p>
        </w:tc>
        <w:tc>
          <w:tcPr>
            <w:tcW w:w="29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BA3834D">
            <w:pPr>
              <w:pStyle w:val="12"/>
              <w:snapToGrid w:val="0"/>
              <w:spacing w:before="42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11"/>
                <w:sz w:val="24"/>
                <w:szCs w:val="24"/>
              </w:rPr>
              <w:t>≤</w:t>
            </w:r>
            <w:r>
              <w:rPr>
                <w:rFonts w:hint="default" w:ascii="Arial" w:hAnsi="Arial" w:eastAsia="Arial" w:cs="Arial"/>
                <w:spacing w:val="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11"/>
                <w:sz w:val="24"/>
                <w:szCs w:val="24"/>
              </w:rPr>
              <w:t>5.0</w:t>
            </w:r>
            <w:r>
              <w:rPr>
                <w:rFonts w:hint="default" w:ascii="Arial" w:hAnsi="Arial" w:eastAsia="Arial" w:cs="Arial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11"/>
                <w:sz w:val="24"/>
                <w:szCs w:val="24"/>
              </w:rPr>
              <w:t>%</w:t>
            </w:r>
          </w:p>
        </w:tc>
        <w:tc>
          <w:tcPr>
            <w:tcW w:w="296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CB1C363">
            <w:pPr>
              <w:pStyle w:val="12"/>
              <w:snapToGrid w:val="0"/>
              <w:spacing w:before="42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1"/>
                <w:position w:val="1"/>
                <w:sz w:val="24"/>
                <w:szCs w:val="24"/>
              </w:rPr>
              <w:t>4.3</w:t>
            </w:r>
            <w:r>
              <w:rPr>
                <w:rFonts w:hint="default" w:ascii="Arial" w:hAnsi="Arial" w:eastAsia="Arial" w:cs="Arial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1"/>
                <w:position w:val="1"/>
                <w:sz w:val="24"/>
                <w:szCs w:val="24"/>
              </w:rPr>
              <w:t>%</w:t>
            </w:r>
          </w:p>
        </w:tc>
      </w:tr>
      <w:tr w14:paraId="1A997A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09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61D96B1">
            <w:pPr>
              <w:pStyle w:val="12"/>
              <w:snapToGrid w:val="0"/>
              <w:spacing w:before="45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4"/>
                <w:position w:val="3"/>
                <w:sz w:val="24"/>
                <w:szCs w:val="24"/>
              </w:rPr>
              <w:t>Heavy</w:t>
            </w:r>
            <w:r>
              <w:rPr>
                <w:rFonts w:hint="default" w:ascii="Arial" w:hAnsi="Arial" w:eastAsia="Arial" w:cs="Arial"/>
                <w:spacing w:val="26"/>
                <w:position w:val="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4"/>
                <w:position w:val="3"/>
                <w:sz w:val="24"/>
                <w:szCs w:val="24"/>
              </w:rPr>
              <w:t>Metals</w:t>
            </w:r>
            <w:r>
              <w:rPr>
                <w:rFonts w:hint="default" w:ascii="Arial" w:hAnsi="Arial" w:eastAsia="Arial" w:cs="Arial"/>
                <w:spacing w:val="12"/>
                <w:position w:val="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4"/>
                <w:position w:val="3"/>
                <w:sz w:val="24"/>
                <w:szCs w:val="24"/>
              </w:rPr>
              <w:t>(as</w:t>
            </w:r>
            <w:r>
              <w:rPr>
                <w:rFonts w:hint="default" w:ascii="Arial" w:hAnsi="Arial" w:eastAsia="Arial" w:cs="Arial"/>
                <w:spacing w:val="16"/>
                <w:position w:val="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4"/>
                <w:position w:val="3"/>
                <w:sz w:val="24"/>
                <w:szCs w:val="24"/>
              </w:rPr>
              <w:t>Pb)</w:t>
            </w:r>
          </w:p>
        </w:tc>
        <w:tc>
          <w:tcPr>
            <w:tcW w:w="29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796D112">
            <w:pPr>
              <w:pStyle w:val="12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13"/>
                <w:sz w:val="24"/>
                <w:szCs w:val="24"/>
              </w:rPr>
              <w:t>≤</w:t>
            </w:r>
            <w:r>
              <w:rPr>
                <w:rFonts w:hint="default" w:ascii="Arial" w:hAnsi="Arial" w:eastAsia="Arial" w:cs="Arial"/>
                <w:spacing w:val="2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13"/>
                <w:sz w:val="24"/>
                <w:szCs w:val="24"/>
              </w:rPr>
              <w:t>10</w:t>
            </w:r>
            <w:r>
              <w:rPr>
                <w:rFonts w:hint="default" w:ascii="Arial" w:hAnsi="Arial" w:eastAsia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13"/>
                <w:sz w:val="24"/>
                <w:szCs w:val="24"/>
              </w:rPr>
              <w:t>ppm</w:t>
            </w:r>
          </w:p>
        </w:tc>
        <w:tc>
          <w:tcPr>
            <w:tcW w:w="296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4BF7194">
            <w:pPr>
              <w:pStyle w:val="12"/>
              <w:snapToGrid w:val="0"/>
              <w:spacing w:before="110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2"/>
                <w:sz w:val="24"/>
                <w:szCs w:val="24"/>
              </w:rPr>
              <w:t>Not detected</w:t>
            </w:r>
          </w:p>
        </w:tc>
      </w:tr>
      <w:tr w14:paraId="138637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309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258BFAF">
            <w:pPr>
              <w:pStyle w:val="12"/>
              <w:snapToGrid w:val="0"/>
              <w:spacing w:before="110" w:line="240" w:lineRule="auto"/>
              <w:ind w:left="0" w:leftChars="0" w:right="0" w:rightChars="0" w:firstLine="0" w:firstLineChars="0"/>
              <w:jc w:val="left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1"/>
                <w:sz w:val="24"/>
                <w:szCs w:val="24"/>
              </w:rPr>
              <w:t>Arsenic</w:t>
            </w:r>
            <w:r>
              <w:rPr>
                <w:rFonts w:hint="default" w:ascii="Arial" w:hAnsi="Arial" w:eastAsia="Arial" w:cs="Arial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1"/>
                <w:sz w:val="24"/>
                <w:szCs w:val="24"/>
              </w:rPr>
              <w:t>(As)</w:t>
            </w:r>
          </w:p>
        </w:tc>
        <w:tc>
          <w:tcPr>
            <w:tcW w:w="29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C84B8A4">
            <w:pPr>
              <w:pStyle w:val="12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12"/>
                <w:sz w:val="24"/>
                <w:szCs w:val="24"/>
              </w:rPr>
              <w:t>≤</w:t>
            </w:r>
            <w:r>
              <w:rPr>
                <w:rFonts w:hint="default" w:ascii="Arial" w:hAnsi="Arial" w:eastAsia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12"/>
                <w:sz w:val="24"/>
                <w:szCs w:val="24"/>
              </w:rPr>
              <w:t>2</w:t>
            </w:r>
            <w:r>
              <w:rPr>
                <w:rFonts w:hint="default" w:ascii="Arial" w:hAnsi="Arial" w:eastAsia="Arial" w:cs="Arial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eastAsia="Arial" w:cs="Arial"/>
                <w:spacing w:val="-12"/>
                <w:sz w:val="24"/>
                <w:szCs w:val="24"/>
              </w:rPr>
              <w:t>ppm</w:t>
            </w:r>
          </w:p>
        </w:tc>
        <w:tc>
          <w:tcPr>
            <w:tcW w:w="296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AD28B7A">
            <w:pPr>
              <w:pStyle w:val="12"/>
              <w:snapToGrid w:val="0"/>
              <w:spacing w:before="112" w:line="240" w:lineRule="auto"/>
              <w:ind w:left="0" w:leftChars="0" w:right="0" w:rightChars="0" w:firstLine="0" w:firstLineChars="0"/>
              <w:jc w:val="center"/>
              <w:rPr>
                <w:rFonts w:hint="default" w:ascii="Arial" w:hAnsi="Arial" w:eastAsia="Arial" w:cs="Arial"/>
                <w:sz w:val="24"/>
                <w:szCs w:val="24"/>
              </w:rPr>
            </w:pPr>
            <w:r>
              <w:rPr>
                <w:rFonts w:hint="default" w:ascii="Arial" w:hAnsi="Arial" w:eastAsia="Arial" w:cs="Arial"/>
                <w:spacing w:val="-2"/>
                <w:sz w:val="24"/>
                <w:szCs w:val="24"/>
              </w:rPr>
              <w:t>Not detected</w:t>
            </w:r>
          </w:p>
        </w:tc>
      </w:tr>
    </w:tbl>
    <w:p w14:paraId="26BEA4EF">
      <w:pPr>
        <w:pStyle w:val="6"/>
        <w:keepNext w:val="0"/>
        <w:keepLines w:val="0"/>
        <w:widowControl/>
        <w:suppressLineNumbers w:val="0"/>
        <w:rPr>
          <w:rStyle w:val="10"/>
          <w:rFonts w:hint="default" w:ascii="Arial" w:hAnsi="Arial" w:cs="Arial"/>
          <w:sz w:val="24"/>
          <w:szCs w:val="24"/>
        </w:rPr>
      </w:pPr>
    </w:p>
    <w:p w14:paraId="53D191D7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Style w:val="10"/>
          <w:rFonts w:hint="default" w:ascii="Arial" w:hAnsi="Arial" w:cs="Arial"/>
          <w:sz w:val="24"/>
          <w:szCs w:val="24"/>
        </w:rPr>
        <w:t>Conclusion</w:t>
      </w:r>
      <w:r>
        <w:rPr>
          <w:rFonts w:hint="default" w:ascii="Arial" w:hAnsi="Arial" w:cs="Arial"/>
          <w:sz w:val="24"/>
          <w:szCs w:val="24"/>
        </w:rPr>
        <w:t>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The above product complies with the specified requirements.</w:t>
      </w:r>
    </w:p>
    <w:p w14:paraId="58245B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/>
        <w:jc w:val="left"/>
        <w:textAlignment w:val="auto"/>
        <w:rPr>
          <w:rFonts w:hint="default" w:ascii="Arial" w:hAnsi="Arial" w:cs="Arial"/>
          <w:sz w:val="20"/>
          <w:szCs w:val="2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CD24C">
    <w:pPr>
      <w:pStyle w:val="4"/>
      <w:rPr>
        <w:rFonts w:hint="default" w:eastAsiaTheme="minorEastAsia"/>
        <w:sz w:val="24"/>
        <w:szCs w:val="24"/>
        <w:lang w:val="en-US" w:eastAsia="zh-CN"/>
      </w:rPr>
    </w:pPr>
    <w:r>
      <w:rPr>
        <w:rFonts w:hint="default"/>
        <w:sz w:val="24"/>
        <w:szCs w:val="24"/>
        <w:lang w:eastAsia="zh-Hans"/>
      </w:rPr>
      <w:t>Tel:86 13602030663</w:t>
    </w:r>
    <w:r>
      <w:rPr>
        <w:rFonts w:hint="eastAsia"/>
        <w:sz w:val="24"/>
        <w:szCs w:val="24"/>
        <w:lang w:val="en-US" w:eastAsia="zh-CN"/>
      </w:rPr>
      <w:t xml:space="preserve">        Email: sale@hugeroc.com    Web:www.hugeroc.com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5435E">
    <w:pPr>
      <w:pStyle w:val="5"/>
      <w:rPr>
        <w:rFonts w:hint="default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716915</wp:posOffset>
              </wp:positionH>
              <wp:positionV relativeFrom="topMargin">
                <wp:posOffset>381635</wp:posOffset>
              </wp:positionV>
              <wp:extent cx="4349115" cy="569595"/>
              <wp:effectExtent l="0" t="0" r="0" b="0"/>
              <wp:wrapNone/>
              <wp:docPr id="6" name="组合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49115" cy="569703"/>
                        <a:chOff x="3484" y="531"/>
                        <a:chExt cx="6454" cy="1110"/>
                      </a:xfrm>
                    </wpg:grpSpPr>
                    <wps:wsp>
                      <wps:cNvPr id="2" name="矩形 2"/>
                      <wps:cNvSpPr/>
                      <wps:spPr>
                        <a:xfrm>
                          <a:off x="4728" y="1163"/>
                          <a:ext cx="1760" cy="4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7" name="文本框 3"/>
                      <wps:cNvSpPr txBox="1"/>
                      <wps:spPr>
                        <a:xfrm>
                          <a:off x="3484" y="531"/>
                          <a:ext cx="6454" cy="10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A8F25">
                            <w:pPr>
                              <w:pStyle w:val="5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  <w:lang w:val="en-US" w:eastAsia="zh-CN"/>
                              </w:rPr>
                              <w:t>天津鹏程慧通商贸有限公司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Tianjin Huge Roc Enterprises Co., Ltd</w:t>
                            </w:r>
                          </w:p>
                          <w:p w14:paraId="2935C1A8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46.45pt;margin-top:30.05pt;height:44.85pt;width:342.45pt;mso-position-horizontal-relative:page;mso-position-vertical-relative:page;z-index:251660288;mso-width-relative:page;mso-height-relative:page;" coordorigin="3484,531" coordsize="6454,1110" o:gfxdata="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+opL4dkAAAAKAQAADwAAAAAAAAABACAAAAAiAAAAZHJzL2Rvd25yZXYueG1sUEsB&#10;AhQAFAAAAAgAh07iQG8wugVKAwAAnwgAAA4AAAAAAAAAAQAgAAAAKAEAAGRycy9lMm9Eb2MueG1s&#10;UEsFBgAAAAAGAAYAWQEAAOQGAAAAAA==&#10;">
              <o:lock v:ext="edit" aspectratio="f"/>
              <v:rect id="_x0000_s1026" o:spid="_x0000_s1026" o:spt="1" style="position:absolute;left:4728;top:1163;height:478;width:1760;v-text-anchor:middle;" fillcolor="#FFFFFF [3212]" filled="t" stroked="f" coordsize="21600,21600" o:gfxdata="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5T/vvQAA&#10;ANoAAAAPAAAAAAAAAAEAIAAAACIAAABkcnMvZG93bnJldi54bWxQSwECFAAUAAAACACHTuJAMy8F&#10;njsAAAA5AAAAEAAAAAAAAAABACAAAAAMAQAAZHJzL3NoYXBleG1sLnhtbFBLBQYAAAAABgAGAFsB&#10;AAC2AwAAAAA=&#10;">
                <v:fill on="t" opacity="0f" focussize="0,0"/>
                <v:stroke on="f" weight="1pt" miterlimit="8" joinstyle="miter"/>
                <v:imagedata o:title=""/>
                <o:lock v:ext="edit" aspectratio="f"/>
              </v:rect>
              <v:shape id="文本框 3" o:spid="_x0000_s1026" o:spt="202" type="#_x0000_t202" style="position:absolute;left:3484;top:531;height:1027;width:6454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E7A8F25">
                      <w:pPr>
                        <w:pStyle w:val="5"/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6"/>
                          <w:szCs w:val="26"/>
                          <w:lang w:val="en-US" w:eastAsia="zh-CN"/>
                        </w:rPr>
                        <w:t>天津鹏程慧通商贸有限公司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Tianjin Huge Roc Enterprises Co., Ltd</w:t>
                      </w:r>
                    </w:p>
                    <w:p w14:paraId="2935C1A8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  <w:sz w:val="28"/>
        <w:szCs w:val="28"/>
        <w:lang w:val="en-US" w:eastAsia="zh-CN"/>
      </w:rPr>
      <w:drawing>
        <wp:inline distT="0" distB="0" distL="114300" distR="114300">
          <wp:extent cx="389890" cy="365760"/>
          <wp:effectExtent l="0" t="0" r="635" b="5715"/>
          <wp:docPr id="8" name="图片 8" descr="公司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公司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989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5314950" cy="0"/>
              <wp:effectExtent l="0" t="4445" r="0" b="508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59510" y="897890"/>
                        <a:ext cx="53149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style="position:absolute;left:0pt;margin-left:90pt;margin-top:73.4pt;height:0pt;width:418.5pt;mso-position-horizontal-relative:page;mso-position-vertical-relative:page;z-index:251659264;mso-width-relative:margin;mso-height-relative:page;mso-width-percent:1000;" filled="f" stroked="t" coordsize="21600,21600" o:gfxdata="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eeLX&#10;0wAAAAIBAAAPAAAAAAAAAAEAIAAAACIAAABkcnMvZG93bnJldi54bWxQSwECFAAUAAAACACHTuJA&#10;hchC2O0BAAC8AwAADgAAAAAAAAABACAAAAAiAQAAZHJzL2Uyb0RvYy54bWxQSwUGAAAAAAYABgBZ&#10;AQAAgQUAAAAA&#10;">
              <v:fill on="f" focussize="0,0"/>
              <v:stroke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27189"/>
    <w:rsid w:val="07A0115A"/>
    <w:rsid w:val="1C52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538</Characters>
  <Lines>0</Lines>
  <Paragraphs>0</Paragraphs>
  <TotalTime>174</TotalTime>
  <ScaleCrop>false</ScaleCrop>
  <LinksUpToDate>false</LinksUpToDate>
  <CharactersWithSpaces>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2026-01-16T06:05:00Z</dcterms:created>
  <dc:creator>天津鹏程慧通</dc:creator>
  <cp:lastModifiedBy>天津鹏程慧通</cp:lastModifiedBy>
  <dcterms:modified xsi:type="dcterms:W3CDTF">2026-01-20T06:17:23Z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EE97151300EC4262B1868F64E9E33E26_13</vt:lpwstr>
  </property>
  <property fmtid="{D5CDD505-2E9C-101B-9397-08002B2CF9AE}" pid="4" name="KSOTemplateDocerSaveRecord">
    <vt:lpwstr>eyJoZGlkIjoiZGQ3N2Y5NzI4MDIwYjM1ZWY0NGFiMzUzMTk2YmI0NTIiLCJ1c2VySWQiOiI0MzE2NzYxMDUifQ==</vt:lpwstr>
  </property>
</Properties>
</file>